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05-0937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86MS0079-01-2024-007077-87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07.12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АМАНОР</w:t>
      </w:r>
      <w:r>
        <w:rPr>
          <w:rFonts w:ascii="Times New Roman" w:eastAsia="Times New Roman" w:hAnsi="Times New Roman" w:cs="Times New Roman"/>
          <w:sz w:val="26"/>
          <w:szCs w:val="26"/>
        </w:rPr>
        <w:t>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>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01.01.2020-31.12.2020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22.12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